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cs="华文中宋"/>
          <w:b/>
          <w:bCs/>
          <w:color w:val="FF0000"/>
          <w:spacing w:val="-20"/>
          <w:sz w:val="44"/>
          <w:szCs w:val="44"/>
          <w:lang w:val="en-US" w:eastAsia="zh-CN"/>
        </w:rPr>
      </w:pPr>
      <w:bookmarkStart w:id="0" w:name="_GoBack"/>
      <w:bookmarkEnd w:id="0"/>
    </w:p>
    <w:p>
      <w:pPr>
        <w:jc w:val="both"/>
        <w:rPr>
          <w:rFonts w:hint="eastAsia" w:ascii="华文中宋" w:hAnsi="华文中宋" w:eastAsia="华文中宋" w:cs="华文中宋"/>
          <w:b/>
          <w:bCs/>
          <w:color w:val="FF0000"/>
          <w:spacing w:val="-20"/>
          <w:sz w:val="52"/>
          <w:szCs w:val="52"/>
          <w:lang w:val="en-US" w:eastAsia="zh-CN"/>
        </w:rPr>
      </w:pPr>
    </w:p>
    <w:p>
      <w:pPr>
        <w:jc w:val="center"/>
        <w:rPr>
          <w:rFonts w:hint="eastAsia" w:ascii="华文中宋" w:hAnsi="华文中宋" w:eastAsia="华文中宋" w:cs="华文中宋"/>
          <w:b w:val="0"/>
          <w:bCs w:val="0"/>
          <w:color w:val="FF0000"/>
          <w:spacing w:val="-20"/>
          <w:sz w:val="52"/>
          <w:szCs w:val="52"/>
          <w:lang w:val="zh-CN" w:eastAsia="zh-CN"/>
        </w:rPr>
      </w:pPr>
      <w:r>
        <w:rPr>
          <w:rFonts w:hint="eastAsia" w:ascii="华文中宋" w:hAnsi="华文中宋" w:eastAsia="华文中宋" w:cs="华文中宋"/>
          <w:b/>
          <w:bCs/>
          <w:color w:val="FF0000"/>
          <w:spacing w:val="-23"/>
          <w:w w:val="80"/>
          <w:sz w:val="72"/>
          <w:szCs w:val="72"/>
          <w:lang w:val="en-US" w:eastAsia="zh-CN"/>
        </w:rPr>
        <w:t>晋城经济技术开发区</w:t>
      </w:r>
      <w:r>
        <w:rPr>
          <w:rFonts w:hint="default" w:ascii="华文中宋" w:hAnsi="华文中宋" w:eastAsia="华文中宋" w:cs="华文中宋"/>
          <w:b/>
          <w:bCs/>
          <w:color w:val="FF0000"/>
          <w:spacing w:val="-23"/>
          <w:w w:val="80"/>
          <w:sz w:val="72"/>
          <w:szCs w:val="72"/>
          <w:lang w:val="en-US" w:eastAsia="zh-CN"/>
        </w:rPr>
        <w:t>行政审批局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jc w:val="center"/>
        <w:textAlignment w:val="auto"/>
        <w:rPr>
          <w:rFonts w:hint="eastAsia" w:ascii="黑体" w:hAnsi="黑体" w:eastAsia="黑体" w:cs="Times New Roman"/>
          <w:sz w:val="44"/>
          <w:lang w:val="zh-CN"/>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Style w:val="4"/>
          <w:rFonts w:hint="default" w:ascii="仿宋_GB2312" w:hAnsi="Calibri" w:eastAsia="仿宋_GB2312" w:cs="Times New Roman"/>
          <w:b/>
          <w:bCs/>
          <w:color w:val="000000"/>
          <w:sz w:val="96"/>
          <w:szCs w:val="96"/>
          <w:lang w:val="en-US" w:eastAsia="zh-CN"/>
        </w:rPr>
      </w:pPr>
      <w:r>
        <w:rPr>
          <w:rFonts w:hint="eastAsia" w:ascii="华文中宋" w:hAnsi="华文中宋" w:eastAsia="华文中宋" w:cs="华文中宋"/>
          <w:b/>
          <w:bCs/>
          <w:color w:val="FF0000"/>
          <w:sz w:val="96"/>
          <w:szCs w:val="96"/>
          <w:lang w:val="en-US" w:eastAsia="zh-CN"/>
        </w:rPr>
        <w:t>工 作 动 态</w:t>
      </w:r>
    </w:p>
    <w:p>
      <w:pPr>
        <w:keepNext w:val="0"/>
        <w:keepLines w:val="0"/>
        <w:pageBreakBefore w:val="0"/>
        <w:widowControl w:val="0"/>
        <w:kinsoku/>
        <w:wordWrap/>
        <w:overflowPunct/>
        <w:topLinePunct w:val="0"/>
        <w:autoSpaceDE/>
        <w:autoSpaceDN/>
        <w:bidi w:val="0"/>
        <w:adjustRightInd/>
        <w:snapToGrid/>
        <w:spacing w:before="469" w:beforeLines="15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2021年第36期</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30</w:t>
      </w:r>
      <w:r>
        <w:rPr>
          <w:rFonts w:hint="eastAsia" w:ascii="仿宋_GB2312" w:hAnsi="仿宋_GB2312" w:eastAsia="仿宋_GB2312" w:cs="仿宋_GB2312"/>
          <w:sz w:val="32"/>
          <w:lang w:eastAsia="zh-CN"/>
        </w:rPr>
        <w:t>日</w:t>
      </w:r>
    </w:p>
    <w:p>
      <w:pPr>
        <w:keepNext w:val="0"/>
        <w:keepLines w:val="0"/>
        <w:pageBreakBefore w:val="0"/>
        <w:widowControl w:val="0"/>
        <w:kinsoku/>
        <w:wordWrap/>
        <w:overflowPunct/>
        <w:topLinePunct w:val="0"/>
        <w:autoSpaceDE/>
        <w:autoSpaceDN/>
        <w:bidi/>
        <w:adjustRightInd/>
        <w:snapToGrid/>
        <w:spacing w:line="600" w:lineRule="exact"/>
        <w:ind w:left="0" w:right="0" w:firstLine="420" w:firstLineChars="200"/>
        <w:jc w:val="both"/>
        <w:textAlignment w:val="auto"/>
        <w:rPr>
          <w:rFonts w:hint="eastAsia" w:ascii="仿宋" w:hAnsi="仿宋" w:eastAsia="仿宋" w:cs="仿宋"/>
          <w:b w:val="0"/>
          <w:bCs w:val="0"/>
          <w:kern w:val="2"/>
          <w:sz w:val="32"/>
          <w:szCs w:val="32"/>
          <w:lang w:val="en-US" w:eastAsia="zh-CN" w:bidi="ar-SA"/>
        </w:rPr>
      </w:pPr>
      <w:r>
        <w:rPr>
          <w:rFonts w:hint="eastAsia"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1270</wp:posOffset>
                </wp:positionV>
                <wp:extent cx="5715000" cy="635"/>
                <wp:effectExtent l="0" t="22225" r="0" b="34290"/>
                <wp:wrapNone/>
                <wp:docPr id="1026" name="直接连接符 2"/>
                <wp:cNvGraphicFramePr/>
                <a:graphic xmlns:a="http://schemas.openxmlformats.org/drawingml/2006/main">
                  <a:graphicData uri="http://schemas.microsoft.com/office/word/2010/wordprocessingShape">
                    <wps:wsp>
                      <wps:cNvCnPr/>
                      <wps:spPr>
                        <a:xfrm>
                          <a:off x="0" y="0"/>
                          <a:ext cx="5715000" cy="635"/>
                        </a:xfrm>
                        <a:prstGeom prst="line">
                          <a:avLst/>
                        </a:prstGeom>
                        <a:ln w="44450" cap="flat" cmpd="sng">
                          <a:solidFill>
                            <a:srgbClr val="FF0000"/>
                          </a:solidFill>
                          <a:prstDash val="solid"/>
                          <a:round/>
                          <a:headEnd type="none" w="med" len="med"/>
                          <a:tailEnd type="none" w="med" len="med"/>
                        </a:ln>
                        <a:effectLst/>
                      </wps:spPr>
                      <wps:bodyPr/>
                    </wps:wsp>
                  </a:graphicData>
                </a:graphic>
              </wp:anchor>
            </w:drawing>
          </mc:Choice>
          <mc:Fallback>
            <w:pict>
              <v:line id="直接连接符 2" o:spid="_x0000_s1026" o:spt="20" style="position:absolute;left:0pt;margin-left:-8.9pt;margin-top:0.1pt;height:0.05pt;width:450pt;z-index:251659264;mso-width-relative:page;mso-height-relative:page;" filled="f" stroked="t" coordsize="21600,21600" o:gfxdata="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L/OADUAAAABQEAAA8AAAAAAAAAAQAgAAAAIgAAAGRycy9kb3ducmV2Lnht&#10;bFBLAQIUABQAAAAIAIdO4kDd/Jv2/QEAAPYDAAAOAAAAAAAAAAEAIAAAACMBAABkcnMvZTJvRG9j&#10;LnhtbFBLBQYAAAAABgAGAFkBAACSBQAAAAA=&#10;">
                <v:fill on="f" focussize="0,0"/>
                <v:stroke weight="3.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b/>
          <w:bCs/>
          <w:sz w:val="44"/>
          <w:szCs w:val="44"/>
          <w:lang w:val="en-US" w:eastAsia="zh-CN"/>
        </w:rPr>
      </w:pPr>
      <w:r>
        <w:rPr>
          <w:rFonts w:hint="eastAsia" w:ascii="方正小标宋_GBK" w:hAnsi="方正小标宋_GBK" w:eastAsia="方正小标宋_GBK" w:cs="方正小标宋_GBK"/>
          <w:b w:val="0"/>
          <w:bCs w:val="0"/>
          <w:sz w:val="44"/>
          <w:szCs w:val="44"/>
          <w:lang w:val="en-US" w:eastAsia="zh-CN"/>
        </w:rPr>
        <w:t>广联航空帮办小记</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日，在得知与开发区刚签约的广联航空需办理工商注册手续后，我局“帮办代办”员主动与广联航空的负责人取得联系，在了解基本情况后，为企业发放办理工商注册手续的一次性告知书，并告知申请单位为其提供全程代办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在协助申请单位准备申报资料的同时，代办员与窗口工作人员于第二日在山西省政务服务平台为申请单位注册了个人账号。在为申请单位填报基本信息时，出现了以下两个问题：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企业名称核准未通过的问题。申报的子公司名称：广联航空（晋城）有限公司在核准名称时提示“企业名称不可用（违禁词类）”，在得知情况后，代办员与工作人员协助申请单位准备好申请权限需提交的资料，向山西省市场监督管理局发函申请下放权限，通过与省市场监督管理局沟通协调，于申请后的第二日通过了企业名称的审核。</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是经营范围填报不全的问题。申请单位在申报经营范围时想要沿用总公司的经营范围，因涉及到军用飞机制造的问题，代办员与工作人员在山西经营范围规范表述查询系统里未查找到军用制造的这一类别，通过与申请单位沟通，为其提供山西经营范围规范表述查询系统里所有相近相似的经营范围，经过协调，申请次日即确定了经营范围。申请单位在核对经营范围时又提出想要加入“火箭发射设备研发和制造、火箭发动机研发与制造”这两项，代办员与工作人员立即在经营范围规范表述查询系统中查询到该经营范围，但在企业开办全程网办系统中的经营范围规范中未查询到，无法添加。代办员向上级领导汇报情况后，行政审批局的负责人立即与市行政审批服务管理局、省市场监督管理局、企业开办全程网办系统运营商等多方沟通协调，下放经营范围的权限，将“火箭发射设备研发和制造、火箭发动机研发与制造”这两项新增至企业开办全程网办系统中，最终确定了申报的经营范围。</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与此同时，代办员与工作人员帮助申请单位在山西政务服务平台企业开办网填报好申报信息后，将电子版发送给申请单位的负责人进行审核，审核无误后，于第二日将登记注册身份实名认证的操作流程发送给申报单位的4名人员进行身份验证，4名人员全部完成身份验证后，代办员为其中的3名人员依次发送二维码进行最终的电子签名。</w:t>
      </w:r>
    </w:p>
    <w:p>
      <w:pPr>
        <w:numPr>
          <w:ilvl w:val="0"/>
          <w:numId w:val="0"/>
        </w:numPr>
        <w:ind w:firstLine="640"/>
        <w:rPr>
          <w:rFonts w:hint="default" w:ascii="仿宋" w:hAnsi="仿宋" w:eastAsia="仿宋" w:cs="仿宋"/>
          <w:sz w:val="32"/>
          <w:szCs w:val="32"/>
          <w:lang w:val="en" w:eastAsia="zh-CN"/>
        </w:rPr>
      </w:pPr>
      <w:r>
        <w:rPr>
          <w:rFonts w:hint="eastAsia" w:ascii="仿宋" w:hAnsi="仿宋" w:eastAsia="仿宋" w:cs="仿宋"/>
          <w:sz w:val="32"/>
          <w:szCs w:val="32"/>
          <w:lang w:val="en-US" w:eastAsia="zh-CN"/>
        </w:rPr>
        <w:t>代办员与工作人员帮助广联航空（晋城）有限公司完成工商注册的网上申报，当天办结，领取营业执照。从收集完整申报资料到事项办结用时1个工作日。事项办结后，开发区行政审批局为广联航空（晋城）有限公司提供了免费刻章服务（企业公章、财务专用章、发票专用章、法定代表人个人名章），在刻章完成后，代办员主动上门服务，将印章送至申请单位。</w:t>
      </w:r>
    </w:p>
    <w:p>
      <w:pPr>
        <w:numPr>
          <w:ilvl w:val="0"/>
          <w:numId w:val="0"/>
        </w:numPr>
        <w:ind w:firstLine="640" w:firstLineChars="200"/>
        <w:rPr>
          <w:rFonts w:hint="default" w:ascii="仿宋" w:hAnsi="仿宋" w:eastAsia="仿宋" w:cs="仿宋"/>
          <w:sz w:val="32"/>
          <w:szCs w:val="32"/>
          <w:lang w:val="en" w:eastAsia="zh-CN"/>
        </w:rPr>
      </w:pPr>
      <w:r>
        <w:rPr>
          <w:rFonts w:hint="eastAsia" w:ascii="仿宋" w:hAnsi="仿宋" w:eastAsia="仿宋" w:cs="仿宋"/>
          <w:sz w:val="32"/>
          <w:szCs w:val="32"/>
          <w:lang w:val="en-US" w:eastAsia="zh-CN"/>
        </w:rPr>
        <w:t>在帮办代办工作中，我们对需办理的事项做到了提前介入、全程跟踪，主动帮助申请单位准备申报资料、网上上传等工作，遇到问题第一时间与多方联系、积极协调，为申请单位提供了高效、便捷的审批服务，真正实现了“最多跑一次或一次也不跑的”的服务目标，彰显了开发区的审批速度和服务效率。</w:t>
      </w:r>
    </w:p>
    <w:p>
      <w:pPr>
        <w:keepNext w:val="0"/>
        <w:keepLines w:val="0"/>
        <w:pageBreakBefore w:val="0"/>
        <w:widowControl w:val="0"/>
        <w:kinsoku/>
        <w:wordWrap/>
        <w:overflowPunct/>
        <w:topLinePunct w:val="0"/>
        <w:autoSpaceDE/>
        <w:autoSpaceDN/>
        <w:bidi w:val="0"/>
        <w:adjustRightInd/>
        <w:snapToGrid/>
        <w:textAlignment w:val="auto"/>
        <w:rPr>
          <w:rFonts w:hint="eastAsia" w:ascii="华文仿宋" w:hAnsi="华文仿宋" w:eastAsia="华文仿宋" w:cs="华文仿宋"/>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001010101"/>
    <w:charset w:val="00"/>
    <w:family w:val="auto"/>
    <w:pitch w:val="default"/>
    <w:sig w:usb0="00000000" w:usb1="00000000" w:usb2="00000000" w:usb3="00000000" w:csb0="0004009F" w:csb1="DFD7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仿宋">
    <w:altName w:val="仿宋"/>
    <w:panose1 w:val="02010600040001010101"/>
    <w:charset w:val="7A"/>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1A682B"/>
    <w:rsid w:val="4FCD9C1E"/>
    <w:rsid w:val="4FDEE929"/>
    <w:rsid w:val="77F344EA"/>
    <w:rsid w:val="7DDD3F04"/>
    <w:rsid w:val="B79D47F3"/>
    <w:rsid w:val="E5BF4CEC"/>
    <w:rsid w:val="F37BA7ED"/>
    <w:rsid w:val="FFBABA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iPriority w:val="0"/>
    <w:rPr>
      <w:rFonts w:ascii="Calibri" w:hAnsi="Calibri" w:eastAsia="宋体" w:cs="Times New Roman"/>
    </w:rPr>
  </w:style>
  <w:style w:type="table" w:default="1" w:styleId="2">
    <w:name w:val="Normal Table"/>
    <w:uiPriority w:val="0"/>
    <w:rPr>
      <w:rFonts w:ascii="Calibri" w:hAnsi="Calibri" w:eastAsia="宋体" w:cs="Times New Roman"/>
    </w:rPr>
    <w:tblPr>
      <w:tblStyle w:val="2"/>
      <w:tblCellMar>
        <w:top w:w="0" w:type="dxa"/>
        <w:left w:w="108" w:type="dxa"/>
        <w:bottom w:w="0" w:type="dxa"/>
        <w:right w:w="108" w:type="dxa"/>
      </w:tblCellMar>
    </w:tblPr>
  </w:style>
  <w:style w:type="character" w:customStyle="1" w:styleId="4">
    <w:name w:val="p141"/>
    <w:uiPriority w:val="0"/>
    <w:rPr>
      <w:rFonts w:ascii="Calibri" w:hAnsi="Calibri" w:eastAsia="宋体" w:cs="Times New Roman"/>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2021-09-18T23:22:00Z</dcterms:created>
  <dc:creator>kylin</dc:creator>
  <cp:lastModifiedBy>WPS_1453079597</cp:lastModifiedBy>
  <dcterms:modified xsi:type="dcterms:W3CDTF">2021-09-30T09:36:19Z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7CFE4CEE32B9406984E28F0A725C7D04</vt:lpwstr>
  </property>
</Properties>
</file>